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caps/>
          <w:color w:val="0D1B2A"/>
          <w:spacing w:val="60"/>
          <w:sz w:val="36"/>
          <w:szCs w:val="36"/>
        </w:rPr>
        <w:t xml:space="preserve">AMERICAN CIVIC POWER</w:t>
      </w:r>
    </w:p>
    <w:p>
      <w:pPr>
        <w:spacing w:after="80" w:before="0"/>
        <w:jc w:val="center"/>
      </w:pPr>
      <w:r>
        <w:rPr>
          <w:rFonts w:ascii="Georgia" w:cs="Georgia" w:eastAsia="Georgia" w:hAnsi="Georgia"/>
          <w:b/>
          <w:bCs/>
          <w:color w:val="0D1B2A"/>
          <w:sz w:val="32"/>
          <w:szCs w:val="32"/>
        </w:rPr>
        <w:t xml:space="preserve">Los 12 Puntos de la Buena Gobernanza</w:t>
      </w:r>
    </w:p>
    <w:p>
      <w:pPr>
        <w:spacing w:after="80" w:before="0"/>
        <w:jc w:val="center"/>
      </w:pPr>
      <w:r>
        <w:rPr>
          <w:rFonts w:ascii="Georgia" w:cs="Georgia" w:eastAsia="Georgia" w:hAnsi="Georgia"/>
          <w:i/>
          <w:iCs/>
          <w:color w:val="555555"/>
          <w:sz w:val="22"/>
          <w:szCs w:val="22"/>
        </w:rPr>
        <w:t xml:space="preserve">Un Marco para la Rendición de Cuentas Cívica</w:t>
      </w:r>
    </w:p>
    <w:p>
      <w:pPr>
        <w:pBdr>
          <w:bottom w:val="single" w:color="0D1B2A" w:sz="6"/>
        </w:pBdr>
        <w:spacing w:after="60" w:before="60"/>
        <w:jc w:val="center"/>
      </w:pPr>
    </w:p>
    <w:p>
      <w:pPr>
        <w:spacing w:after="80" w:before="120" w:line="276"/>
        <w:jc w:val="left"/>
      </w:pPr>
      <w:r>
        <w:rPr>
          <w:rFonts w:ascii="Arial" w:cs="Arial" w:eastAsia="Arial" w:hAnsi="Arial"/>
          <w:color w:val="1A1A2E"/>
          <w:sz w:val="20"/>
          <w:szCs w:val="20"/>
        </w:rPr>
        <w:t xml:space="preserve">Los 12 Puntos de la Buena Gobernanza es un marco desarrollado por American Civic Power para definir cómo se ve en la práctica un gobierno funcional, responsable y democrático. Estos no son estándares partidistas — se aplican a cualquier gobierno, en cualquier nivel, independientemente de la afiliación política. Están arraigados en la tradición constitucional americana y diseñados para dar a cada Civestadór una herramienta clara y consistente para evaluar el desempeño de las instituciones que gobiernan sus vidas.</w:t>
      </w:r>
    </w:p>
    <w:p>
      <w:pPr>
        <w:pBdr>
          <w:left w:val="single" w:color="0077B6" w:sz="12"/>
        </w:pBdr>
        <w:spacing w:after="160" w:before="100" w:line="276"/>
        <w:ind w:left="400" w:right="400"/>
        <w:jc w:val="center"/>
      </w:pPr>
      <w:r>
        <w:rPr>
          <w:rFonts w:ascii="Georgia" w:cs="Georgia" w:eastAsia="Georgia" w:hAnsi="Georgia"/>
          <w:b/>
          <w:bCs/>
          <w:i/>
          <w:iCs/>
          <w:color w:val="0077B6"/>
          <w:sz w:val="22"/>
          <w:szCs w:val="22"/>
        </w:rPr>
        <w:t xml:space="preserve">“No se puede responsabilizar al poder sin un estándar. Los 12 Puntos son ese estándar.”</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400"/>
        <w:gridCol w:w="6960"/>
      </w:tblGrid>
      <w:tr>
        <w:tc>
          <w:tcPr>
            <w:tcW w:type="dxa" w:w="2400"/>
            <w:tcBorders>
              <w:top w:val="none" w:color="FFFFFF" w:sz="0"/>
              <w:left w:val="none" w:color="FFFFFF" w:sz="0"/>
              <w:bottom w:val="none" w:color="FFFFFF" w:sz="0"/>
              <w:right w:val="none" w:color="FFFFFF" w:sz="0"/>
            </w:tcBorders>
            <w:shd w:fill="0077B6"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w:t>
            </w:r>
          </w:p>
          <w:p>
            <w:pPr>
              <w:spacing w:after="0" w:before="40"/>
            </w:pPr>
            <w:r>
              <w:rPr>
                <w:rFonts w:ascii="Arial" w:cs="Arial" w:eastAsia="Arial" w:hAnsi="Arial"/>
                <w:b/>
                <w:bCs/>
                <w:color w:val="FFFFFF"/>
                <w:sz w:val="24"/>
                <w:szCs w:val="24"/>
              </w:rPr>
              <w:t xml:space="preserve">Transparencia</w:t>
            </w:r>
          </w:p>
        </w:tc>
        <w:tc>
          <w:tcPr>
            <w:tcW w:type="dxa" w:w="6960"/>
            <w:tcBorders>
              <w:top w:val="none" w:color="FFFFFF" w:sz="0"/>
              <w:left w:val="none" w:color="FFFFFF" w:sz="0"/>
              <w:bottom w:val="none" w:color="FFFFFF" w:sz="0"/>
              <w:right w:val="none" w:color="FFFFFF" w:sz="0"/>
            </w:tcBorders>
            <w:shd w:fill="D0EAF8"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 gobierno debe operar de manera abierta. Las decisiones, deliberaciones, presupuestos, contratos y el razonamiento detrás de las decisiones de política pública deben ser accesibles al público. La transparencia es la condición previa para todas las demás formas de rendición de cuentas — no se puede responsabilizar a un gobierno por lo que hace si no se puede ver lo que está haciendo. Como escribió James Madison, un gobierno popular sin información popular no es más que un prólogo a una farsa o una tragedia.</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00897B"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2</w:t>
            </w:r>
          </w:p>
          <w:p>
            <w:pPr>
              <w:spacing w:after="0" w:before="40"/>
            </w:pPr>
            <w:r>
              <w:rPr>
                <w:rFonts w:ascii="Arial" w:cs="Arial" w:eastAsia="Arial" w:hAnsi="Arial"/>
                <w:b/>
                <w:bCs/>
                <w:color w:val="FFFFFF"/>
                <w:sz w:val="24"/>
                <w:szCs w:val="24"/>
              </w:rPr>
              <w:t xml:space="preserve">Rendición de Cuentas</w:t>
            </w:r>
          </w:p>
        </w:tc>
        <w:tc>
          <w:tcPr>
            <w:tcW w:type="dxa" w:w="6960"/>
            <w:tcBorders>
              <w:top w:val="none" w:color="FFFFFF" w:sz="0"/>
              <w:left w:val="none" w:color="FFFFFF" w:sz="0"/>
              <w:bottom w:val="none" w:color="FFFFFF" w:sz="0"/>
              <w:right w:val="none" w:color="FFFFFF" w:sz="0"/>
            </w:tcBorders>
            <w:shd w:fill="C8EDE9"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Los funcionarios electos y los servidores públicos deben responder por sus decisiones y su desempeño. La rendición de cuentas significa que el poder conlleva consecuencias — que quienes gobiernan mal, actúan de manera poco ética o traicionan la confianza pública enfrentan penalidades reales: derrota electoral, sanciones legales o censura pública. La rendición de cuentas no funciona sin ciudadanos comprometidos que estén prestando atención, haciendo preguntas e insistiendo en obtener respuestas.</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558B2F"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3</w:t>
            </w:r>
          </w:p>
          <w:p>
            <w:pPr>
              <w:spacing w:after="0" w:before="40"/>
            </w:pPr>
            <w:r>
              <w:rPr>
                <w:rFonts w:ascii="Arial" w:cs="Arial" w:eastAsia="Arial" w:hAnsi="Arial"/>
                <w:b/>
                <w:bCs/>
                <w:color w:val="FFFFFF"/>
                <w:sz w:val="24"/>
                <w:szCs w:val="24"/>
              </w:rPr>
              <w:t xml:space="preserve">Representación</w:t>
            </w:r>
          </w:p>
        </w:tc>
        <w:tc>
          <w:tcPr>
            <w:tcW w:type="dxa" w:w="6960"/>
            <w:tcBorders>
              <w:top w:val="none" w:color="FFFFFF" w:sz="0"/>
              <w:left w:val="none" w:color="FFFFFF" w:sz="0"/>
              <w:bottom w:val="none" w:color="FFFFFF" w:sz="0"/>
              <w:right w:val="none" w:color="FFFFFF" w:sz="0"/>
            </w:tcBorders>
            <w:shd w:fill="DCEDC8"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 gobierno debe representar genuinamente a las comunidades a las que sirve — en su composición, sus prioridades y su toma de decisiones. La representación no se trata solo de quién es elegido. Se trata de qué voces son escuchadas en el proceso, qué intereses se reflejan en los resultados y si toda la diversidad de una comunidad tiene acceso significativo a las instituciones que la gobiernan. Gobierno del pueblo, por el pueblo y para el pueblo — o no es democracia.</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F9A825"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4</w:t>
            </w:r>
          </w:p>
          <w:p>
            <w:pPr>
              <w:spacing w:after="0" w:before="40"/>
            </w:pPr>
            <w:r>
              <w:rPr>
                <w:rFonts w:ascii="Arial" w:cs="Arial" w:eastAsia="Arial" w:hAnsi="Arial"/>
                <w:b/>
                <w:bCs/>
                <w:color w:val="FFFFFF"/>
                <w:sz w:val="24"/>
                <w:szCs w:val="24"/>
              </w:rPr>
              <w:t xml:space="preserve">Integridad Fiscal</w:t>
            </w:r>
          </w:p>
        </w:tc>
        <w:tc>
          <w:tcPr>
            <w:tcW w:type="dxa" w:w="6960"/>
            <w:tcBorders>
              <w:top w:val="none" w:color="FFFFFF" w:sz="0"/>
              <w:left w:val="none" w:color="FFFFFF" w:sz="0"/>
              <w:bottom w:val="none" w:color="FFFFFF" w:sz="0"/>
              <w:right w:val="none" w:color="FFFFFF" w:sz="0"/>
            </w:tcBorders>
            <w:shd w:fill="FFF8E1"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Los recursos públicos deben administrarse con honestidad, competencia y un claro sentido de propósito. La integridad fiscal significa que los presupuestos reflejan las verdaderas prioridades públicas, que el gasto se rastrea y reporta de manera abierta, que el desperdicio y la corrupción se resisten activamente, y que la salud financiera a largo plazo de la comunidad se pondera junto con las presiones políticas a corto plazo. El presupuesto es el documento más honesto que produce un gobierno — le muestra, en números, lo que un gobierno realmente valora.</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E65100"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5</w:t>
            </w:r>
          </w:p>
          <w:p>
            <w:pPr>
              <w:spacing w:after="0" w:before="40"/>
            </w:pPr>
            <w:r>
              <w:rPr>
                <w:rFonts w:ascii="Arial" w:cs="Arial" w:eastAsia="Arial" w:hAnsi="Arial"/>
                <w:b/>
                <w:bCs/>
                <w:color w:val="FFFFFF"/>
                <w:sz w:val="24"/>
                <w:szCs w:val="24"/>
              </w:rPr>
              <w:t xml:space="preserve">Estado de Derecho</w:t>
            </w:r>
          </w:p>
        </w:tc>
        <w:tc>
          <w:tcPr>
            <w:tcW w:type="dxa" w:w="6960"/>
            <w:tcBorders>
              <w:top w:val="none" w:color="FFFFFF" w:sz="0"/>
              <w:left w:val="none" w:color="FFFFFF" w:sz="0"/>
              <w:bottom w:val="none" w:color="FFFFFF" w:sz="0"/>
              <w:right w:val="none" w:color="FFFFFF" w:sz="0"/>
            </w:tcBorders>
            <w:shd w:fill="FFE0CC"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 gobierno debe operar dentro de la ley y aplicar la ley de manera equitativa. Ninguna persona, institución o facción política está por encima del marco legal que rige la vida pública. El estado de derecho significa que las protecciones legales se aplican a todos, que las obligaciones legales se hacen cumplir de manera consistente y que la justicia no está a la venta ni se aplica selectivamente. Cuando el estado de derecho se erosiona, la democracia comienza a vaciarse desde adentro.</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C62828"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6</w:t>
            </w:r>
          </w:p>
          <w:p>
            <w:pPr>
              <w:spacing w:after="0" w:before="40"/>
            </w:pPr>
            <w:r>
              <w:rPr>
                <w:rFonts w:ascii="Arial" w:cs="Arial" w:eastAsia="Arial" w:hAnsi="Arial"/>
                <w:b/>
                <w:bCs/>
                <w:color w:val="FFFFFF"/>
                <w:sz w:val="24"/>
                <w:szCs w:val="24"/>
              </w:rPr>
              <w:t xml:space="preserve">Acceso Cívico</w:t>
            </w:r>
          </w:p>
        </w:tc>
        <w:tc>
          <w:tcPr>
            <w:tcW w:type="dxa" w:w="6960"/>
            <w:tcBorders>
              <w:top w:val="none" w:color="FFFFFF" w:sz="0"/>
              <w:left w:val="none" w:color="FFFFFF" w:sz="0"/>
              <w:bottom w:val="none" w:color="FFFFFF" w:sz="0"/>
              <w:right w:val="none" w:color="FFFFFF" w:sz="0"/>
            </w:tcBorders>
            <w:shd w:fill="FFCDD2"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 buen gobierno facilita activamente la participación — no la dificulta — para cada ciudadano. La votación debe ser accesible. Las reuniones públicas deben ser abiertas y celebrarse en horarios en que las personas trabajadoras puedan asistir. Los registros públicos deben estar disponibles sin obstáculos burocráticos. El proceso democrático debe estar diseñado para incluir, no para excluir. Un gobierno que dificulta la participación es un gobierno que prefiere operar sin escrutinio.</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AD1457"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7</w:t>
            </w:r>
          </w:p>
          <w:p>
            <w:pPr>
              <w:spacing w:after="0" w:before="40"/>
            </w:pPr>
            <w:r>
              <w:rPr>
                <w:rFonts w:ascii="Arial" w:cs="Arial" w:eastAsia="Arial" w:hAnsi="Arial"/>
                <w:b/>
                <w:bCs/>
                <w:color w:val="FFFFFF"/>
                <w:sz w:val="24"/>
                <w:szCs w:val="24"/>
              </w:rPr>
              <w:t xml:space="preserve">Justicia Igualitaria</w:t>
            </w:r>
          </w:p>
        </w:tc>
        <w:tc>
          <w:tcPr>
            <w:tcW w:type="dxa" w:w="6960"/>
            <w:tcBorders>
              <w:top w:val="none" w:color="FFFFFF" w:sz="0"/>
              <w:left w:val="none" w:color="FFFFFF" w:sz="0"/>
              <w:bottom w:val="none" w:color="FFFFFF" w:sz="0"/>
              <w:right w:val="none" w:color="FFFFFF" w:sz="0"/>
            </w:tcBorders>
            <w:shd w:fill="FCDDE8"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Cada miembro de la comunidad tiene igual condición ante el gobierno e igual protección bajo él. La justicia igualitaria significa que la ley se aplica de la misma manera independientemente de la raza, los ingresos, las conexiones políticas o el estatus social. Significa que los beneficios del buen gobierno y las cargas de las decisiones públicas se distribuyen de manera justa. La justicia igualitaria no es un logro terminado — es una obligación cívica continua que cada generación debe avanzar.</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6A1B9A"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8</w:t>
            </w:r>
          </w:p>
          <w:p>
            <w:pPr>
              <w:spacing w:after="0" w:before="40"/>
            </w:pPr>
            <w:r>
              <w:rPr>
                <w:rFonts w:ascii="Arial" w:cs="Arial" w:eastAsia="Arial" w:hAnsi="Arial"/>
                <w:b/>
                <w:bCs/>
                <w:color w:val="FFFFFF"/>
                <w:sz w:val="24"/>
                <w:szCs w:val="24"/>
              </w:rPr>
              <w:t xml:space="preserve">Controles y Equilibrios</w:t>
            </w:r>
          </w:p>
        </w:tc>
        <w:tc>
          <w:tcPr>
            <w:tcW w:type="dxa" w:w="6960"/>
            <w:tcBorders>
              <w:top w:val="none" w:color="FFFFFF" w:sz="0"/>
              <w:left w:val="none" w:color="FFFFFF" w:sz="0"/>
              <w:bottom w:val="none" w:color="FFFFFF" w:sz="0"/>
              <w:right w:val="none" w:color="FFFFFF" w:sz="0"/>
            </w:tcBorders>
            <w:shd w:fill="EDE0F5"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 poder debe estar dividido, limitado y controlado. Ningún individuo, rama o institución debe acumular autoridad sin control sobre la vida pública. La separación de poderes entre las ramas legislativa, ejecutiva y judicial en cada nivel de gobierno es una de las innovaciones estructurales más importantes de la tradición democrática americana — un sistema diseñado para no confiar demasiado poder en una sola mano.</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283593"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9</w:t>
            </w:r>
          </w:p>
          <w:p>
            <w:pPr>
              <w:spacing w:after="0" w:before="40"/>
            </w:pPr>
            <w:r>
              <w:rPr>
                <w:rFonts w:ascii="Arial" w:cs="Arial" w:eastAsia="Arial" w:hAnsi="Arial"/>
                <w:b/>
                <w:bCs/>
                <w:color w:val="FFFFFF"/>
                <w:sz w:val="24"/>
                <w:szCs w:val="24"/>
              </w:rPr>
              <w:t xml:space="preserve">Prensa Libre</w:t>
            </w:r>
          </w:p>
        </w:tc>
        <w:tc>
          <w:tcPr>
            <w:tcW w:type="dxa" w:w="6960"/>
            <w:tcBorders>
              <w:top w:val="none" w:color="FFFFFF" w:sz="0"/>
              <w:left w:val="none" w:color="FFFFFF" w:sz="0"/>
              <w:bottom w:val="none" w:color="FFFFFF" w:sz="0"/>
              <w:right w:val="none" w:color="FFFFFF" w:sz="0"/>
            </w:tcBorders>
            <w:shd w:fill="DCEEFF"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La democracia requiere una ciudadanía informada, y una ciudadanía informada requiere una prensa libre, independiente y en funcionamiento. El periodismo que investiga, informa y hace rendir cuentas al poder es una infraestructura democrática esencial — tan americana como la Primera Enmienda que la protege. La erosión del periodismo local es una de las amenazas más graves para la gobernanza democrática a nivel comunitario. Cuando nadie cubre la junta municipal, el poder opera en la oscuridad.</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2E7D32"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10</w:t>
            </w:r>
          </w:p>
          <w:p>
            <w:pPr>
              <w:spacing w:after="0" w:before="40"/>
            </w:pPr>
            <w:r>
              <w:rPr>
                <w:rFonts w:ascii="Arial" w:cs="Arial" w:eastAsia="Arial" w:hAnsi="Arial"/>
                <w:b/>
                <w:bCs/>
                <w:color w:val="FFFFFF"/>
                <w:sz w:val="24"/>
                <w:szCs w:val="24"/>
              </w:rPr>
              <w:t xml:space="preserve">Liderazgo Ético</w:t>
            </w:r>
          </w:p>
        </w:tc>
        <w:tc>
          <w:tcPr>
            <w:tcW w:type="dxa" w:w="6960"/>
            <w:tcBorders>
              <w:top w:val="none" w:color="FFFFFF" w:sz="0"/>
              <w:left w:val="none" w:color="FFFFFF" w:sz="0"/>
              <w:bottom w:val="none" w:color="FFFFFF" w:sz="0"/>
              <w:right w:val="none" w:color="FFFFFF" w:sz="0"/>
            </w:tcBorders>
            <w:shd w:fill="C8E6C9"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Quienes ocupan cargos públicos o tienen confianza pública deben conducirse con integridad. El liderazgo ético significa evitar conflictos de interés, rechazar la corrupción, ser honesto con los ciudadanos y mantener la confianza pública por encima del beneficio personal. El cargo público no es una oportunidad de negocios — es una responsabilidad. La corrupción desvía los recursos públicos, distorsiona la toma de decisiones y corroe la confianza pública de la que depende la gobernanza democrática.</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1565C0"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11</w:t>
            </w:r>
          </w:p>
          <w:p>
            <w:pPr>
              <w:spacing w:after="0" w:before="40"/>
            </w:pPr>
            <w:r>
              <w:rPr>
                <w:rFonts w:ascii="Arial" w:cs="Arial" w:eastAsia="Arial" w:hAnsi="Arial"/>
                <w:b/>
                <w:bCs/>
                <w:color w:val="FFFFFF"/>
                <w:sz w:val="24"/>
                <w:szCs w:val="24"/>
              </w:rPr>
              <w:t xml:space="preserve">Pensamiento a Futuro</w:t>
            </w:r>
          </w:p>
        </w:tc>
        <w:tc>
          <w:tcPr>
            <w:tcW w:type="dxa" w:w="6960"/>
            <w:tcBorders>
              <w:top w:val="none" w:color="FFFFFF" w:sz="0"/>
              <w:left w:val="none" w:color="FFFFFF" w:sz="0"/>
              <w:bottom w:val="none" w:color="FFFFFF" w:sz="0"/>
              <w:right w:val="none" w:color="FFFFFF" w:sz="0"/>
            </w:tcBorders>
            <w:shd w:fill="BBDEFB"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 buen gobierno mira más allá del próximo ciclo electoral. Toma decisiones que reflejan el bienestar a largo plazo de la comunidad, incluso cuando esas decisiones son políticamente difíciles a corto plazo. Infraestructura, administración ambiental, sostenibilidad fiscal, salud pública, educación — estas son áreas donde los costos del pensamiento a corto plazo son pagados por generaciones futuras que no tuvieron voto en las decisiones que dieron forma a su herencia.</w:t>
            </w:r>
          </w:p>
        </w:tc>
      </w:tr>
      <w:tr>
        <w:tc>
          <w:tcPr>
            <w:tcW w:type="dxa" w:w="9360"/>
            <w:gridSpan w:val="2"/>
            <w:tcBorders>
              <w:top w:val="none" w:color="FFFFFF" w:sz="0"/>
              <w:left w:val="none" w:color="FFFFFF" w:sz="0"/>
              <w:bottom w:val="none" w:color="FFFFFF" w:sz="0"/>
              <w:right w:val="none" w:color="FFFFFF" w:sz="0"/>
            </w:tcBorders>
            <w:shd w:fill="FFFFFF" w:val="clear"/>
            <w:tcMar>
              <w:top w:type="dxa" w:w="0"/>
              <w:left w:type="dxa" w:w="0"/>
              <w:bottom w:type="dxa" w:w="0"/>
              <w:right w:type="dxa" w:w="0"/>
            </w:tcMar>
          </w:tcPr>
          <w:p>
            <w:pPr>
              <w:spacing w:after="0" w:before="0"/>
            </w:pPr>
          </w:p>
        </w:tc>
      </w:tr>
      <w:tr>
        <w:tc>
          <w:tcPr>
            <w:tcW w:type="dxa" w:w="2400"/>
            <w:tcBorders>
              <w:top w:val="none" w:color="FFFFFF" w:sz="0"/>
              <w:left w:val="none" w:color="FFFFFF" w:sz="0"/>
              <w:bottom w:val="none" w:color="FFFFFF" w:sz="0"/>
              <w:right w:val="none" w:color="FFFFFF" w:sz="0"/>
            </w:tcBorders>
            <w:shd w:fill="9E6A00" w:val="clear"/>
            <w:tcMar>
              <w:top w:type="dxa" w:w="160"/>
              <w:left w:type="dxa" w:w="200"/>
              <w:bottom w:type="dxa" w:w="160"/>
              <w:right w:type="dxa" w:w="200"/>
            </w:tcMar>
            <w:vAlign w:val="top"/>
          </w:tcPr>
          <w:p>
            <w:pPr>
              <w:spacing w:after="0" w:before="0"/>
            </w:pPr>
            <w:r>
              <w:rPr>
                <w:rFonts w:ascii="Georgia" w:cs="Georgia" w:eastAsia="Georgia" w:hAnsi="Georgia"/>
                <w:b/>
                <w:bCs/>
                <w:color w:val="FFFFFF"/>
                <w:sz w:val="52"/>
                <w:szCs w:val="52"/>
              </w:rPr>
              <w:t xml:space="preserve">12</w:t>
            </w:r>
          </w:p>
          <w:p>
            <w:pPr>
              <w:spacing w:after="0" w:before="40"/>
            </w:pPr>
            <w:r>
              <w:rPr>
                <w:rFonts w:ascii="Arial" w:cs="Arial" w:eastAsia="Arial" w:hAnsi="Arial"/>
                <w:b/>
                <w:bCs/>
                <w:color w:val="FFFFFF"/>
                <w:sz w:val="24"/>
                <w:szCs w:val="24"/>
              </w:rPr>
              <w:t xml:space="preserve">Capacidad de Respuesta</w:t>
            </w:r>
          </w:p>
        </w:tc>
        <w:tc>
          <w:tcPr>
            <w:tcW w:type="dxa" w:w="6960"/>
            <w:tcBorders>
              <w:top w:val="none" w:color="FFFFFF" w:sz="0"/>
              <w:left w:val="none" w:color="FFFFFF" w:sz="0"/>
              <w:bottom w:val="none" w:color="FFFFFF" w:sz="0"/>
              <w:right w:val="none" w:color="FFFFFF" w:sz="0"/>
            </w:tcBorders>
            <w:shd w:fill="F5E6C2" w:val="clear"/>
            <w:tcMar>
              <w:top w:type="dxa" w:w="160"/>
              <w:left w:type="dxa" w:w="240"/>
              <w:bottom w:type="dxa" w:w="160"/>
              <w:right w:type="dxa" w:w="200"/>
            </w:tcMar>
            <w:vAlign w:val="top"/>
          </w:tcPr>
          <w:p>
            <w:pPr>
              <w:spacing w:after="0" w:before="0" w:line="276"/>
            </w:pPr>
            <w:r>
              <w:rPr>
                <w:rFonts w:ascii="Arial" w:cs="Arial" w:eastAsia="Arial" w:hAnsi="Arial"/>
                <w:color w:val="1A1A2E"/>
                <w:sz w:val="20"/>
                <w:szCs w:val="20"/>
              </w:rPr>
              <w:t xml:space="preserve">El gobierno debe escuchar y responder a las personas a las que sirve. La capacidad de respuesta significa que las preocupaciones de los ciudadanos son escuchadas, que la opinión pública se considera genuinamente en la toma de decisiones, y que los funcionarios electos mantienen conexiones reales con las comunidades que representan — no solo durante la temporada electoral, sino cada día que ocupan su cargo. Un gobierno que no responde a sus ciudadanos ha perdido contacto con su propósito fundamental.</w:t>
            </w:r>
          </w:p>
        </w:tc>
      </w:tr>
    </w:tbl>
    <w:p>
      <w:pPr>
        <w:pBdr>
          <w:top w:val="single" w:color="CCCCCC" w:sz="4"/>
        </w:pBdr>
        <w:spacing w:after="0" w:before="240"/>
        <w:jc w:val="center"/>
      </w:pPr>
      <w:r>
        <w:rPr>
          <w:rFonts w:ascii="Arial" w:cs="Arial" w:eastAsia="Arial" w:hAnsi="Arial"/>
          <w:color w:val="0077B6"/>
          <w:sz w:val="18"/>
          <w:szCs w:val="18"/>
        </w:rPr>
        <w:t xml:space="preserve">americancivicpower.com</w:t>
      </w:r>
      <w:r>
        <w:rPr>
          <w:rFonts w:ascii="Arial" w:cs="Arial" w:eastAsia="Arial" w:hAnsi="Arial"/>
          <w:color w:val="888888"/>
          <w:sz w:val="18"/>
          <w:szCs w:val="18"/>
        </w:rPr>
        <w:t xml:space="preserve">     •     </w:t>
      </w:r>
      <w:r>
        <w:rPr>
          <w:rFonts w:ascii="Georgia" w:cs="Georgia" w:eastAsia="Georgia" w:hAnsi="Georgia"/>
          <w:i/>
          <w:iCs/>
          <w:color w:val="555555"/>
          <w:sz w:val="18"/>
          <w:szCs w:val="18"/>
        </w:rPr>
        <w:t xml:space="preserve">Civestadóres civestan. ¿Eres uno?</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2026-04-23T18:21:33.580Z</dcterms:created>
  <dcterms:modified xsi:type="dcterms:W3CDTF">2026-04-23T18:21:33.581Z</dcterms:modified>
</cp:coreProperties>
</file>

<file path=docProps/custom.xml><?xml version="1.0" encoding="utf-8"?>
<Properties xmlns="http://schemas.openxmlformats.org/officeDocument/2006/custom-properties" xmlns:vt="http://schemas.openxmlformats.org/officeDocument/2006/docPropsVTypes"/>
</file>